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661E0" w:rsidRDefault="00E27DD9">
      <w:pPr>
        <w:spacing w:after="263"/>
        <w:ind w:left="401" w:hanging="10"/>
      </w:pPr>
      <w:bookmarkStart w:id="0" w:name="_Hlk97197476"/>
      <w:r>
        <w:rPr>
          <w:rFonts w:ascii="Times New Roman" w:eastAsia="Times New Roman" w:hAnsi="Times New Roman" w:cs="Times New Roman"/>
          <w:color w:val="2E74B5"/>
          <w:sz w:val="32"/>
        </w:rPr>
        <w:t xml:space="preserve">Pilootprojekti kirjeldus lepingu Lisa 2,  5. peatükk. </w:t>
      </w:r>
    </w:p>
    <w:p w:rsidR="00B661E0" w:rsidRDefault="00E27DD9">
      <w:pPr>
        <w:spacing w:after="270"/>
        <w:ind w:left="391"/>
      </w:pPr>
      <w:r>
        <w:rPr>
          <w:rFonts w:ascii="Times New Roman" w:eastAsia="Times New Roman" w:hAnsi="Times New Roman" w:cs="Times New Roman"/>
          <w:color w:val="2E74B5"/>
          <w:sz w:val="32"/>
        </w:rPr>
        <w:t xml:space="preserve"> </w:t>
      </w:r>
    </w:p>
    <w:p w:rsidR="00B661E0" w:rsidRDefault="00E27DD9">
      <w:pPr>
        <w:spacing w:after="0"/>
        <w:ind w:left="-5" w:hanging="10"/>
      </w:pPr>
      <w:r>
        <w:rPr>
          <w:rFonts w:ascii="Times New Roman" w:eastAsia="Times New Roman" w:hAnsi="Times New Roman" w:cs="Times New Roman"/>
          <w:color w:val="2E74B5"/>
          <w:sz w:val="32"/>
        </w:rPr>
        <w:t>1.</w:t>
      </w:r>
      <w:r>
        <w:rPr>
          <w:rFonts w:ascii="Arial" w:eastAsia="Arial" w:hAnsi="Arial" w:cs="Arial"/>
          <w:color w:val="2E74B5"/>
          <w:sz w:val="32"/>
        </w:rPr>
        <w:t xml:space="preserve"> </w:t>
      </w:r>
      <w:r>
        <w:rPr>
          <w:rFonts w:ascii="Times New Roman" w:eastAsia="Times New Roman" w:hAnsi="Times New Roman" w:cs="Times New Roman"/>
          <w:color w:val="2E74B5"/>
          <w:sz w:val="32"/>
        </w:rPr>
        <w:t xml:space="preserve">TEENUSKOMPONENTIDE LOETELU </w:t>
      </w:r>
    </w:p>
    <w:p w:rsidR="00B661E0" w:rsidRDefault="00E27DD9">
      <w:pPr>
        <w:spacing w:after="0"/>
        <w:jc w:val="right"/>
      </w:pPr>
      <w:r>
        <w:rPr>
          <w:rFonts w:ascii="Times New Roman" w:eastAsia="Times New Roman" w:hAnsi="Times New Roman" w:cs="Times New Roman"/>
          <w:sz w:val="24"/>
        </w:rPr>
        <w:t>Teenuskomponentide loetelu annab täpse ülevaate teenuse planeerimiseks vajalikest baas-</w:t>
      </w:r>
      <w:bookmarkStart w:id="1" w:name="_GoBack"/>
      <w:bookmarkEnd w:id="1"/>
      <w:r>
        <w:rPr>
          <w:rFonts w:ascii="Times New Roman" w:eastAsia="Times New Roman" w:hAnsi="Times New Roman" w:cs="Times New Roman"/>
          <w:sz w:val="24"/>
        </w:rPr>
        <w:t xml:space="preserve"> ja lisatoetuse teenuskomponentidest.  </w:t>
      </w:r>
    </w:p>
    <w:tbl>
      <w:tblPr>
        <w:tblStyle w:val="TableGrid"/>
        <w:tblW w:w="14737" w:type="dxa"/>
        <w:tblInd w:w="332" w:type="dxa"/>
        <w:tblCellMar>
          <w:top w:w="5" w:type="dxa"/>
          <w:left w:w="68" w:type="dxa"/>
          <w:bottom w:w="0" w:type="dxa"/>
          <w:right w:w="18" w:type="dxa"/>
        </w:tblCellMar>
        <w:tblLook w:val="04A0" w:firstRow="1" w:lastRow="0" w:firstColumn="1" w:lastColumn="0" w:noHBand="0" w:noVBand="1"/>
      </w:tblPr>
      <w:tblGrid>
        <w:gridCol w:w="1978"/>
        <w:gridCol w:w="10775"/>
        <w:gridCol w:w="1984"/>
      </w:tblGrid>
      <w:tr w:rsidR="00B661E0">
        <w:trPr>
          <w:trHeight w:val="2887"/>
        </w:trPr>
        <w:tc>
          <w:tcPr>
            <w:tcW w:w="14737" w:type="dxa"/>
            <w:gridSpan w:val="3"/>
            <w:tcBorders>
              <w:top w:val="single" w:sz="4" w:space="0" w:color="000000"/>
              <w:left w:val="single" w:sz="4" w:space="0" w:color="000000"/>
              <w:bottom w:val="single" w:sz="4" w:space="0" w:color="000000"/>
              <w:right w:val="single" w:sz="4" w:space="0" w:color="000000"/>
            </w:tcBorders>
            <w:shd w:val="clear" w:color="auto" w:fill="DBE5F1"/>
            <w:vAlign w:val="bottom"/>
          </w:tcPr>
          <w:bookmarkEnd w:id="0"/>
          <w:p w:rsidR="00B661E0" w:rsidRDefault="00E27DD9">
            <w:pPr>
              <w:spacing w:after="0"/>
            </w:pPr>
            <w:r>
              <w:rPr>
                <w:rFonts w:ascii="Arial" w:eastAsia="Arial" w:hAnsi="Arial" w:cs="Arial"/>
                <w:b/>
                <w:sz w:val="18"/>
              </w:rPr>
              <w:t xml:space="preserve">BAASTOETUSE KOMPONENDID </w:t>
            </w:r>
          </w:p>
          <w:p w:rsidR="00B661E0" w:rsidRDefault="00E27DD9">
            <w:pPr>
              <w:spacing w:after="119" w:line="241" w:lineRule="auto"/>
            </w:pPr>
            <w:r>
              <w:rPr>
                <w:rFonts w:ascii="Arial" w:eastAsia="Arial" w:hAnsi="Arial" w:cs="Arial"/>
                <w:sz w:val="18"/>
              </w:rPr>
              <w:t>Baastoetuse osutaja töötab juhtumikorralduse põhimõtteid järgides ning tagab läbi personaalse ja sisulise juhtumikorralduse tervikliku plaani elluviimise, sh koordineerib terviklikult  võrgustikutööd.  Baastoetuse teenuskomponentide eesmärk on kõikide inim</w:t>
            </w:r>
            <w:r>
              <w:rPr>
                <w:rFonts w:ascii="Arial" w:eastAsia="Arial" w:hAnsi="Arial" w:cs="Arial"/>
                <w:sz w:val="18"/>
              </w:rPr>
              <w:t xml:space="preserve">ese eluolukorras vajalike osapoolte koostöö hoidmine tagamaks paindlik ja terviklik teenuse osutamine, mis arvestab inimeste personaalset toetusvajadust kõigis eluvaldkondades. </w:t>
            </w:r>
          </w:p>
          <w:p w:rsidR="00B661E0" w:rsidRDefault="00E27DD9">
            <w:pPr>
              <w:spacing w:after="2" w:line="239" w:lineRule="auto"/>
            </w:pPr>
            <w:r>
              <w:rPr>
                <w:rFonts w:ascii="Arial" w:eastAsia="Arial" w:hAnsi="Arial" w:cs="Arial"/>
                <w:sz w:val="18"/>
              </w:rPr>
              <w:t>Baastoetuse raames toimub inimesele tegevusplaani koostamine, teenuskomponenti</w:t>
            </w:r>
            <w:r>
              <w:rPr>
                <w:rFonts w:ascii="Arial" w:eastAsia="Arial" w:hAnsi="Arial" w:cs="Arial"/>
                <w:sz w:val="18"/>
              </w:rPr>
              <w:t xml:space="preserve">de planeerimine ja seostamine  teenuskomponentide osutajatega. Järjepidevalt, kogu teenuse perioodi vältel,  jälgitakse abivajaduse muutumist ning vastavalt muutustele planeeritakse vajadusel teenus ümber.  </w:t>
            </w:r>
          </w:p>
          <w:p w:rsidR="00B661E0" w:rsidRDefault="00E27DD9">
            <w:pPr>
              <w:spacing w:after="137" w:line="239" w:lineRule="auto"/>
            </w:pPr>
            <w:r>
              <w:rPr>
                <w:rFonts w:ascii="Arial" w:eastAsia="Arial" w:hAnsi="Arial" w:cs="Arial"/>
                <w:sz w:val="18"/>
              </w:rPr>
              <w:t>Baastoetuse osutaja ülesanne on plaani elluviimi</w:t>
            </w:r>
            <w:r>
              <w:rPr>
                <w:rFonts w:ascii="Arial" w:eastAsia="Arial" w:hAnsi="Arial" w:cs="Arial"/>
                <w:sz w:val="18"/>
              </w:rPr>
              <w:t xml:space="preserve">se raames inimese vajaduste osas tervikvaate omamine, sh lisatoetuse osutajatega esmane seostamine (nt vajadusel inimese perearsti nimistusse saamisega seotud toimingud jms või Töötukassa tegevustega esmane seostamine). </w:t>
            </w:r>
          </w:p>
          <w:p w:rsidR="00B661E0" w:rsidRDefault="00E27DD9">
            <w:pPr>
              <w:spacing w:after="42"/>
            </w:pPr>
            <w:r>
              <w:rPr>
                <w:rFonts w:ascii="Arial" w:eastAsia="Arial" w:hAnsi="Arial" w:cs="Arial"/>
                <w:sz w:val="18"/>
              </w:rPr>
              <w:t>Baastoetuse pakkuja tagab abivajaja</w:t>
            </w:r>
            <w:r>
              <w:rPr>
                <w:rFonts w:ascii="Arial" w:eastAsia="Arial" w:hAnsi="Arial" w:cs="Arial"/>
                <w:sz w:val="18"/>
              </w:rPr>
              <w:t>le võimalikult kiire, lihtsa ja arusaadava asjaajamise lisatoetuse teenuskomponentide osutajateni jõudmisel.</w:t>
            </w:r>
            <w:r>
              <w:rPr>
                <w:sz w:val="24"/>
              </w:rPr>
              <w:t xml:space="preserve">   </w:t>
            </w:r>
          </w:p>
          <w:p w:rsidR="00B661E0" w:rsidRDefault="00E27DD9">
            <w:pPr>
              <w:spacing w:after="47"/>
            </w:pPr>
            <w:r>
              <w:rPr>
                <w:rFonts w:ascii="Arial" w:eastAsia="Arial" w:hAnsi="Arial" w:cs="Arial"/>
                <w:sz w:val="18"/>
              </w:rPr>
              <w:t xml:space="preserve">Teenuskomponendid sisaldavad eeltööd, otsest klienditööd ja </w:t>
            </w:r>
            <w:proofErr w:type="spellStart"/>
            <w:r>
              <w:rPr>
                <w:rFonts w:ascii="Arial" w:eastAsia="Arial" w:hAnsi="Arial" w:cs="Arial"/>
                <w:sz w:val="18"/>
              </w:rPr>
              <w:t>järeltööd</w:t>
            </w:r>
            <w:proofErr w:type="spellEnd"/>
            <w:r>
              <w:rPr>
                <w:rFonts w:ascii="Arial" w:eastAsia="Arial" w:hAnsi="Arial" w:cs="Arial"/>
                <w:sz w:val="18"/>
              </w:rPr>
              <w:t>, sealhulgas dokumenteerimist.</w:t>
            </w:r>
            <w:r>
              <w:rPr>
                <w:rFonts w:ascii="Verdana" w:eastAsia="Verdana" w:hAnsi="Verdana" w:cs="Verdana"/>
              </w:rPr>
              <w:t xml:space="preserve">     </w:t>
            </w:r>
          </w:p>
          <w:p w:rsidR="00B661E0" w:rsidRDefault="00E27DD9">
            <w:pPr>
              <w:spacing w:after="0"/>
            </w:pPr>
            <w:r>
              <w:rPr>
                <w:rFonts w:ascii="Arial" w:eastAsia="Arial" w:hAnsi="Arial" w:cs="Arial"/>
                <w:sz w:val="18"/>
              </w:rPr>
              <w:t>Kõik teenuskomponendi läbiviimisega kaa</w:t>
            </w:r>
            <w:r>
              <w:rPr>
                <w:rFonts w:ascii="Arial" w:eastAsia="Arial" w:hAnsi="Arial" w:cs="Arial"/>
                <w:sz w:val="18"/>
              </w:rPr>
              <w:t>snevad kulud sisalduvad selle hinnas.</w:t>
            </w:r>
            <w:r>
              <w:rPr>
                <w:rFonts w:ascii="Arial" w:eastAsia="Arial" w:hAnsi="Arial" w:cs="Arial"/>
                <w:b/>
                <w:sz w:val="18"/>
              </w:rPr>
              <w:t xml:space="preserve"> </w:t>
            </w:r>
          </w:p>
        </w:tc>
      </w:tr>
      <w:tr w:rsidR="00B661E0">
        <w:trPr>
          <w:trHeight w:val="844"/>
        </w:trPr>
        <w:tc>
          <w:tcPr>
            <w:tcW w:w="1978"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B661E0" w:rsidRDefault="00E27DD9">
            <w:pPr>
              <w:spacing w:after="0"/>
              <w:jc w:val="both"/>
            </w:pPr>
            <w:r>
              <w:rPr>
                <w:rFonts w:ascii="Arial" w:eastAsia="Arial" w:hAnsi="Arial" w:cs="Arial"/>
                <w:b/>
                <w:sz w:val="18"/>
              </w:rPr>
              <w:t xml:space="preserve">Komponendi nimetus </w:t>
            </w:r>
          </w:p>
        </w:tc>
        <w:tc>
          <w:tcPr>
            <w:tcW w:w="10775"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B661E0" w:rsidRDefault="00E27DD9">
            <w:pPr>
              <w:spacing w:after="0"/>
              <w:ind w:right="52"/>
              <w:jc w:val="center"/>
            </w:pPr>
            <w:r>
              <w:rPr>
                <w:rFonts w:ascii="Arial" w:eastAsia="Arial" w:hAnsi="Arial" w:cs="Arial"/>
                <w:b/>
                <w:sz w:val="18"/>
              </w:rPr>
              <w:t xml:space="preserve">Komponendi selgitus </w:t>
            </w:r>
          </w:p>
        </w:tc>
        <w:tc>
          <w:tcPr>
            <w:tcW w:w="1984" w:type="dxa"/>
            <w:tcBorders>
              <w:top w:val="single" w:sz="4" w:space="0" w:color="000000"/>
              <w:left w:val="single" w:sz="4" w:space="0" w:color="000000"/>
              <w:bottom w:val="single" w:sz="4" w:space="0" w:color="000000"/>
              <w:right w:val="single" w:sz="4" w:space="0" w:color="000000"/>
            </w:tcBorders>
            <w:shd w:val="clear" w:color="auto" w:fill="D9D9D9"/>
          </w:tcPr>
          <w:p w:rsidR="00B661E0" w:rsidRDefault="00E27DD9">
            <w:pPr>
              <w:spacing w:after="0"/>
              <w:jc w:val="center"/>
            </w:pPr>
            <w:r>
              <w:rPr>
                <w:rFonts w:ascii="Arial" w:eastAsia="Arial" w:hAnsi="Arial" w:cs="Arial"/>
                <w:b/>
                <w:sz w:val="18"/>
              </w:rPr>
              <w:t>Töö maht:</w:t>
            </w:r>
            <w:r>
              <w:rPr>
                <w:rFonts w:ascii="Arial" w:eastAsia="Arial" w:hAnsi="Arial" w:cs="Arial"/>
                <w:sz w:val="18"/>
              </w:rPr>
              <w:t xml:space="preserve"> individuaalne või grupitegevus</w:t>
            </w:r>
            <w:r>
              <w:rPr>
                <w:rFonts w:ascii="Arial" w:eastAsia="Arial" w:hAnsi="Arial" w:cs="Arial"/>
                <w:b/>
                <w:sz w:val="18"/>
              </w:rPr>
              <w:t xml:space="preserve"> </w:t>
            </w:r>
          </w:p>
        </w:tc>
      </w:tr>
      <w:tr w:rsidR="00B661E0">
        <w:trPr>
          <w:trHeight w:val="4260"/>
        </w:trPr>
        <w:tc>
          <w:tcPr>
            <w:tcW w:w="1978" w:type="dxa"/>
            <w:tcBorders>
              <w:top w:val="single" w:sz="4" w:space="0" w:color="000000"/>
              <w:left w:val="single" w:sz="4" w:space="0" w:color="000000"/>
              <w:bottom w:val="single" w:sz="4" w:space="0" w:color="000000"/>
              <w:right w:val="single" w:sz="4" w:space="0" w:color="000000"/>
            </w:tcBorders>
          </w:tcPr>
          <w:p w:rsidR="00B661E0" w:rsidRDefault="00E27DD9">
            <w:pPr>
              <w:spacing w:after="0"/>
            </w:pPr>
            <w:r>
              <w:rPr>
                <w:rFonts w:ascii="Arial" w:eastAsia="Arial" w:hAnsi="Arial" w:cs="Arial"/>
                <w:b/>
                <w:sz w:val="18"/>
              </w:rPr>
              <w:t xml:space="preserve"> </w:t>
            </w:r>
          </w:p>
          <w:p w:rsidR="00B661E0" w:rsidRDefault="00E27DD9">
            <w:pPr>
              <w:spacing w:after="0"/>
            </w:pPr>
            <w:r>
              <w:rPr>
                <w:rFonts w:ascii="Arial" w:eastAsia="Arial" w:hAnsi="Arial" w:cs="Arial"/>
                <w:b/>
                <w:sz w:val="18"/>
              </w:rPr>
              <w:t xml:space="preserve"> </w:t>
            </w:r>
          </w:p>
          <w:p w:rsidR="00B661E0" w:rsidRDefault="00E27DD9">
            <w:pPr>
              <w:spacing w:after="0"/>
            </w:pPr>
            <w:r>
              <w:rPr>
                <w:rFonts w:ascii="Arial" w:eastAsia="Arial" w:hAnsi="Arial" w:cs="Arial"/>
                <w:b/>
                <w:sz w:val="18"/>
              </w:rPr>
              <w:t xml:space="preserve"> </w:t>
            </w:r>
          </w:p>
          <w:p w:rsidR="00B661E0" w:rsidRDefault="00E27DD9">
            <w:pPr>
              <w:spacing w:after="0"/>
            </w:pPr>
            <w:r>
              <w:rPr>
                <w:rFonts w:ascii="Arial" w:eastAsia="Arial" w:hAnsi="Arial" w:cs="Arial"/>
                <w:b/>
                <w:sz w:val="18"/>
              </w:rPr>
              <w:t xml:space="preserve">Teenuse planeerimine  </w:t>
            </w:r>
          </w:p>
        </w:tc>
        <w:tc>
          <w:tcPr>
            <w:tcW w:w="10775" w:type="dxa"/>
            <w:tcBorders>
              <w:top w:val="single" w:sz="4" w:space="0" w:color="000000"/>
              <w:left w:val="single" w:sz="4" w:space="0" w:color="000000"/>
              <w:bottom w:val="single" w:sz="4" w:space="0" w:color="000000"/>
              <w:right w:val="single" w:sz="4" w:space="0" w:color="000000"/>
            </w:tcBorders>
          </w:tcPr>
          <w:p w:rsidR="00B661E0" w:rsidRDefault="00E27DD9">
            <w:pPr>
              <w:spacing w:after="0"/>
              <w:ind w:left="2"/>
            </w:pPr>
            <w:r>
              <w:rPr>
                <w:rFonts w:ascii="Arial" w:eastAsia="Arial" w:hAnsi="Arial" w:cs="Arial"/>
                <w:sz w:val="18"/>
              </w:rPr>
              <w:t xml:space="preserve">Teenuse planeerimise raames toimub: </w:t>
            </w:r>
          </w:p>
          <w:p w:rsidR="00B661E0" w:rsidRDefault="00E27DD9">
            <w:pPr>
              <w:numPr>
                <w:ilvl w:val="0"/>
                <w:numId w:val="1"/>
              </w:numPr>
              <w:spacing w:after="0" w:line="249" w:lineRule="auto"/>
              <w:ind w:hanging="360"/>
            </w:pPr>
            <w:r>
              <w:rPr>
                <w:rFonts w:ascii="Arial" w:eastAsia="Arial" w:hAnsi="Arial" w:cs="Arial"/>
                <w:sz w:val="18"/>
              </w:rPr>
              <w:t xml:space="preserve">terviklik ja järjepidev toetusvajaduse ja selle muutumise hindamine (sarnased kohustuslikud tegevused nagu on erihoolekande ja sotsiaalse rehabilitatsiooni teenustel); </w:t>
            </w:r>
          </w:p>
          <w:p w:rsidR="00B661E0" w:rsidRDefault="00E27DD9">
            <w:pPr>
              <w:numPr>
                <w:ilvl w:val="0"/>
                <w:numId w:val="1"/>
              </w:numPr>
              <w:spacing w:after="0" w:line="252" w:lineRule="auto"/>
              <w:ind w:hanging="360"/>
            </w:pPr>
            <w:r>
              <w:rPr>
                <w:rFonts w:ascii="Arial" w:eastAsia="Arial" w:hAnsi="Arial" w:cs="Arial"/>
                <w:sz w:val="18"/>
              </w:rPr>
              <w:t xml:space="preserve">teenuskomponentide planeerimine, sh </w:t>
            </w:r>
            <w:r>
              <w:rPr>
                <w:rFonts w:ascii="Arial" w:eastAsia="Arial" w:hAnsi="Arial" w:cs="Arial"/>
                <w:b/>
                <w:sz w:val="18"/>
              </w:rPr>
              <w:t>tegevusplaani koostamine koos inimesega</w:t>
            </w:r>
            <w:r>
              <w:rPr>
                <w:rFonts w:ascii="Arial" w:eastAsia="Arial" w:hAnsi="Arial" w:cs="Arial"/>
                <w:sz w:val="18"/>
              </w:rPr>
              <w:t xml:space="preserve">, vajadusel </w:t>
            </w:r>
            <w:r>
              <w:rPr>
                <w:rFonts w:ascii="Arial" w:eastAsia="Arial" w:hAnsi="Arial" w:cs="Arial"/>
                <w:sz w:val="18"/>
              </w:rPr>
              <w:t xml:space="preserve">kaasates inimese lähedased ja teised  vajalikud  sidusvaldkonna esindajad;  </w:t>
            </w:r>
          </w:p>
          <w:p w:rsidR="00B661E0" w:rsidRDefault="00E27DD9">
            <w:pPr>
              <w:numPr>
                <w:ilvl w:val="0"/>
                <w:numId w:val="1"/>
              </w:numPr>
              <w:spacing w:after="0"/>
              <w:ind w:hanging="360"/>
            </w:pPr>
            <w:r>
              <w:rPr>
                <w:rFonts w:ascii="Arial" w:eastAsia="Arial" w:hAnsi="Arial" w:cs="Arial"/>
                <w:sz w:val="18"/>
              </w:rPr>
              <w:t xml:space="preserve">regulaarne toetusvajaduse  arvestamine, tegevusplaani üle vaatamine ja muudatuste planeerimine; </w:t>
            </w:r>
          </w:p>
          <w:p w:rsidR="00B661E0" w:rsidRDefault="00E27DD9">
            <w:pPr>
              <w:numPr>
                <w:ilvl w:val="0"/>
                <w:numId w:val="1"/>
              </w:numPr>
              <w:spacing w:after="0"/>
              <w:ind w:hanging="360"/>
            </w:pPr>
            <w:r>
              <w:rPr>
                <w:rFonts w:ascii="Arial" w:eastAsia="Arial" w:hAnsi="Arial" w:cs="Arial"/>
                <w:sz w:val="18"/>
              </w:rPr>
              <w:t xml:space="preserve">teenuse tegevuste kokkuvõte, tulemuste ja mõju hindamine; </w:t>
            </w:r>
          </w:p>
          <w:p w:rsidR="00B661E0" w:rsidRDefault="00E27DD9">
            <w:pPr>
              <w:spacing w:after="0"/>
              <w:ind w:left="2"/>
            </w:pPr>
            <w:r>
              <w:rPr>
                <w:rFonts w:ascii="Arial" w:eastAsia="Arial" w:hAnsi="Arial" w:cs="Arial"/>
                <w:sz w:val="18"/>
              </w:rPr>
              <w:t xml:space="preserve"> </w:t>
            </w:r>
          </w:p>
          <w:p w:rsidR="00B661E0" w:rsidRDefault="00E27DD9">
            <w:pPr>
              <w:spacing w:after="2" w:line="239" w:lineRule="auto"/>
              <w:ind w:left="2"/>
            </w:pPr>
            <w:r>
              <w:rPr>
                <w:rFonts w:ascii="Arial" w:eastAsia="Arial" w:hAnsi="Arial" w:cs="Arial"/>
                <w:sz w:val="18"/>
              </w:rPr>
              <w:t xml:space="preserve">Komponendi tegevused on oma iseloomult meeskondlikud tegevused, kus võivad osaleda vastavalt inimese eluolukorrast tulenevale vajadusele erinevad spetsialistid ja sidusvaldkonna esindajad.  </w:t>
            </w:r>
          </w:p>
          <w:p w:rsidR="00B661E0" w:rsidRDefault="00E27DD9">
            <w:pPr>
              <w:spacing w:after="0" w:line="239" w:lineRule="auto"/>
              <w:ind w:left="2"/>
              <w:jc w:val="both"/>
            </w:pPr>
            <w:r>
              <w:rPr>
                <w:rFonts w:ascii="Arial" w:eastAsia="Arial" w:hAnsi="Arial" w:cs="Arial"/>
                <w:sz w:val="18"/>
              </w:rPr>
              <w:t>Sidusvaldkonna esindajad saavad osaleda teenuse planeerimisel oma</w:t>
            </w:r>
            <w:r>
              <w:rPr>
                <w:rFonts w:ascii="Arial" w:eastAsia="Arial" w:hAnsi="Arial" w:cs="Arial"/>
                <w:sz w:val="18"/>
              </w:rPr>
              <w:t xml:space="preserve"> põhitegevuse eesmärgist ja valdkonna ülestest koostöö kokkulepetest tulenevalt. </w:t>
            </w:r>
          </w:p>
          <w:p w:rsidR="00B661E0" w:rsidRDefault="00E27DD9">
            <w:pPr>
              <w:spacing w:after="0"/>
              <w:ind w:left="2"/>
            </w:pPr>
            <w:r>
              <w:rPr>
                <w:rFonts w:ascii="Arial" w:eastAsia="Arial" w:hAnsi="Arial" w:cs="Arial"/>
                <w:sz w:val="18"/>
              </w:rPr>
              <w:t xml:space="preserve"> </w:t>
            </w:r>
          </w:p>
          <w:p w:rsidR="00B661E0" w:rsidRDefault="00E27DD9">
            <w:pPr>
              <w:spacing w:after="1" w:line="241" w:lineRule="auto"/>
              <w:ind w:left="2"/>
            </w:pPr>
            <w:r>
              <w:rPr>
                <w:rFonts w:ascii="Arial" w:eastAsia="Arial" w:hAnsi="Arial" w:cs="Arial"/>
                <w:i/>
                <w:sz w:val="18"/>
              </w:rPr>
              <w:t>Teenuse planeerimise komponent ei sisalda muid teenuse sisutegevusi. Kui on vajadus muude individuaalsete sisutegevuste järele, lisandub lisatoetuse personaalse toetamise t</w:t>
            </w:r>
            <w:r>
              <w:rPr>
                <w:rFonts w:ascii="Arial" w:eastAsia="Arial" w:hAnsi="Arial" w:cs="Arial"/>
                <w:i/>
                <w:sz w:val="18"/>
              </w:rPr>
              <w:t>eenuskomponent või muud lisatoetuse komponendid vastavalt abivajadusele (nt igapäevaelu toetamine või hõivatuse toetamine</w:t>
            </w:r>
            <w:r>
              <w:rPr>
                <w:rFonts w:ascii="Arial" w:eastAsia="Arial" w:hAnsi="Arial" w:cs="Arial"/>
                <w:sz w:val="18"/>
              </w:rPr>
              <w:t xml:space="preserve">).     </w:t>
            </w:r>
          </w:p>
          <w:p w:rsidR="00B661E0" w:rsidRDefault="00E27DD9">
            <w:pPr>
              <w:spacing w:after="0"/>
              <w:ind w:left="2"/>
            </w:pPr>
            <w:r>
              <w:rPr>
                <w:rFonts w:ascii="Arial" w:eastAsia="Arial" w:hAnsi="Arial" w:cs="Arial"/>
                <w:sz w:val="18"/>
              </w:rPr>
              <w:t xml:space="preserve"> </w:t>
            </w:r>
          </w:p>
          <w:p w:rsidR="00B661E0" w:rsidRDefault="00E27DD9">
            <w:pPr>
              <w:spacing w:after="0"/>
              <w:ind w:left="2"/>
            </w:pPr>
            <w:r>
              <w:rPr>
                <w:rFonts w:ascii="Arial" w:eastAsia="Arial" w:hAnsi="Arial" w:cs="Arial"/>
                <w:sz w:val="18"/>
              </w:rPr>
              <w:t xml:space="preserve">             </w:t>
            </w:r>
          </w:p>
        </w:tc>
        <w:tc>
          <w:tcPr>
            <w:tcW w:w="1984" w:type="dxa"/>
            <w:tcBorders>
              <w:top w:val="single" w:sz="4" w:space="0" w:color="000000"/>
              <w:left w:val="single" w:sz="4" w:space="0" w:color="000000"/>
              <w:bottom w:val="single" w:sz="4" w:space="0" w:color="000000"/>
              <w:right w:val="single" w:sz="4" w:space="0" w:color="000000"/>
            </w:tcBorders>
          </w:tcPr>
          <w:p w:rsidR="00B661E0" w:rsidRDefault="00E27DD9">
            <w:pPr>
              <w:spacing w:after="0"/>
              <w:ind w:left="2"/>
              <w:jc w:val="center"/>
            </w:pPr>
            <w:r>
              <w:rPr>
                <w:rFonts w:ascii="Arial" w:eastAsia="Arial" w:hAnsi="Arial" w:cs="Arial"/>
                <w:sz w:val="18"/>
              </w:rPr>
              <w:t xml:space="preserve"> </w:t>
            </w:r>
          </w:p>
          <w:p w:rsidR="00B661E0" w:rsidRDefault="00E27DD9">
            <w:pPr>
              <w:spacing w:after="0"/>
              <w:ind w:left="2"/>
              <w:jc w:val="center"/>
            </w:pPr>
            <w:r>
              <w:rPr>
                <w:rFonts w:ascii="Arial" w:eastAsia="Arial" w:hAnsi="Arial" w:cs="Arial"/>
                <w:sz w:val="18"/>
              </w:rPr>
              <w:t xml:space="preserve"> </w:t>
            </w:r>
          </w:p>
          <w:p w:rsidR="00B661E0" w:rsidRDefault="00E27DD9">
            <w:pPr>
              <w:spacing w:after="0"/>
              <w:ind w:left="2"/>
              <w:jc w:val="center"/>
            </w:pPr>
            <w:r>
              <w:rPr>
                <w:rFonts w:ascii="Arial" w:eastAsia="Arial" w:hAnsi="Arial" w:cs="Arial"/>
                <w:sz w:val="18"/>
              </w:rPr>
              <w:t xml:space="preserve"> </w:t>
            </w:r>
          </w:p>
          <w:p w:rsidR="00B661E0" w:rsidRDefault="00E27DD9">
            <w:pPr>
              <w:spacing w:after="0"/>
              <w:ind w:left="2"/>
              <w:jc w:val="center"/>
            </w:pPr>
            <w:r>
              <w:rPr>
                <w:rFonts w:ascii="Arial" w:eastAsia="Arial" w:hAnsi="Arial" w:cs="Arial"/>
                <w:sz w:val="18"/>
              </w:rPr>
              <w:t xml:space="preserve"> </w:t>
            </w:r>
          </w:p>
          <w:p w:rsidR="00B661E0" w:rsidRDefault="00E27DD9">
            <w:pPr>
              <w:spacing w:after="0"/>
              <w:ind w:left="53"/>
            </w:pPr>
            <w:r>
              <w:rPr>
                <w:rFonts w:ascii="Arial" w:eastAsia="Arial" w:hAnsi="Arial" w:cs="Arial"/>
                <w:sz w:val="18"/>
              </w:rPr>
              <w:t xml:space="preserve">Individuaalne tegevus </w:t>
            </w:r>
          </w:p>
        </w:tc>
      </w:tr>
      <w:tr w:rsidR="00B661E0">
        <w:trPr>
          <w:trHeight w:val="5565"/>
        </w:trPr>
        <w:tc>
          <w:tcPr>
            <w:tcW w:w="1978" w:type="dxa"/>
            <w:tcBorders>
              <w:top w:val="single" w:sz="4" w:space="0" w:color="000000"/>
              <w:left w:val="single" w:sz="4" w:space="0" w:color="000000"/>
              <w:bottom w:val="single" w:sz="4" w:space="0" w:color="000000"/>
              <w:right w:val="single" w:sz="4" w:space="0" w:color="000000"/>
            </w:tcBorders>
          </w:tcPr>
          <w:p w:rsidR="00B661E0" w:rsidRDefault="00E27DD9">
            <w:pPr>
              <w:spacing w:after="0"/>
            </w:pPr>
            <w:r>
              <w:rPr>
                <w:rFonts w:ascii="Arial" w:eastAsia="Arial" w:hAnsi="Arial" w:cs="Arial"/>
                <w:b/>
                <w:sz w:val="18"/>
              </w:rPr>
              <w:lastRenderedPageBreak/>
              <w:t xml:space="preserve">Tegevusplaani elluviimise tagamine </w:t>
            </w:r>
          </w:p>
        </w:tc>
        <w:tc>
          <w:tcPr>
            <w:tcW w:w="10775" w:type="dxa"/>
            <w:tcBorders>
              <w:top w:val="single" w:sz="4" w:space="0" w:color="000000"/>
              <w:left w:val="single" w:sz="4" w:space="0" w:color="000000"/>
              <w:bottom w:val="single" w:sz="4" w:space="0" w:color="000000"/>
              <w:right w:val="single" w:sz="4" w:space="0" w:color="000000"/>
            </w:tcBorders>
          </w:tcPr>
          <w:p w:rsidR="00B661E0" w:rsidRDefault="00E27DD9">
            <w:pPr>
              <w:spacing w:after="0"/>
              <w:ind w:left="720"/>
            </w:pPr>
            <w:r>
              <w:rPr>
                <w:rFonts w:ascii="Arial" w:eastAsia="Arial" w:hAnsi="Arial" w:cs="Arial"/>
                <w:sz w:val="18"/>
              </w:rPr>
              <w:t xml:space="preserve"> </w:t>
            </w:r>
          </w:p>
          <w:p w:rsidR="00B661E0" w:rsidRDefault="00E27DD9">
            <w:pPr>
              <w:spacing w:after="0"/>
            </w:pPr>
            <w:r>
              <w:rPr>
                <w:rFonts w:ascii="Arial" w:eastAsia="Arial" w:hAnsi="Arial" w:cs="Arial"/>
                <w:sz w:val="18"/>
              </w:rPr>
              <w:t xml:space="preserve">Tegevusplaani elluviimise tagamise raames toimub: </w:t>
            </w:r>
          </w:p>
          <w:p w:rsidR="00B661E0" w:rsidRDefault="00E27DD9">
            <w:pPr>
              <w:numPr>
                <w:ilvl w:val="0"/>
                <w:numId w:val="2"/>
              </w:numPr>
              <w:spacing w:after="0"/>
              <w:ind w:hanging="360"/>
            </w:pPr>
            <w:r>
              <w:rPr>
                <w:rFonts w:ascii="Arial" w:eastAsia="Arial" w:hAnsi="Arial" w:cs="Arial"/>
                <w:sz w:val="18"/>
              </w:rPr>
              <w:t xml:space="preserve">tegevusplaani elluviimise terviklik toetamine ja selle täitmise koordineerimine; </w:t>
            </w:r>
          </w:p>
          <w:p w:rsidR="00B661E0" w:rsidRDefault="00E27DD9">
            <w:pPr>
              <w:numPr>
                <w:ilvl w:val="0"/>
                <w:numId w:val="2"/>
              </w:numPr>
              <w:spacing w:after="0" w:line="243" w:lineRule="auto"/>
              <w:ind w:hanging="360"/>
            </w:pPr>
            <w:r>
              <w:rPr>
                <w:rFonts w:ascii="Arial" w:eastAsia="Arial" w:hAnsi="Arial" w:cs="Arial"/>
                <w:sz w:val="18"/>
              </w:rPr>
              <w:t xml:space="preserve">võrgustikutöö koordineerimine ja teostamine (sh sotsiaalse võrgustikuga suhtlemine), koostöö kõikide inimese eluolukorrast </w:t>
            </w:r>
            <w:r>
              <w:rPr>
                <w:rFonts w:ascii="Arial" w:eastAsia="Arial" w:hAnsi="Arial" w:cs="Arial"/>
                <w:sz w:val="18"/>
              </w:rPr>
              <w:t xml:space="preserve">tulenevate võrgustikuliikmete ja sidusvaldkonna esindajatega (nt tervishoiutöötajad, haridussüsteemi töötajad, tööhõivesüsteemi töötajad, teised teenuse osutajad); </w:t>
            </w:r>
          </w:p>
          <w:p w:rsidR="00B661E0" w:rsidRDefault="00E27DD9">
            <w:pPr>
              <w:numPr>
                <w:ilvl w:val="0"/>
                <w:numId w:val="2"/>
              </w:numPr>
              <w:spacing w:after="0" w:line="246" w:lineRule="auto"/>
              <w:ind w:hanging="360"/>
            </w:pPr>
            <w:r>
              <w:rPr>
                <w:rFonts w:ascii="Arial" w:eastAsia="Arial" w:hAnsi="Arial" w:cs="Arial"/>
                <w:sz w:val="18"/>
              </w:rPr>
              <w:t xml:space="preserve">inimese nõustamine olemasolevatest abimeetmetest, esmane seostamine ja kontaktide loomine vajalike teenuskomponentide pakkujate ning sidusvaldkondade ja KOV teenustega, sh vajadusel:  </w:t>
            </w:r>
          </w:p>
          <w:p w:rsidR="00B661E0" w:rsidRDefault="00E27DD9">
            <w:pPr>
              <w:numPr>
                <w:ilvl w:val="1"/>
                <w:numId w:val="2"/>
              </w:numPr>
              <w:spacing w:after="2" w:line="239" w:lineRule="auto"/>
              <w:ind w:hanging="360"/>
            </w:pPr>
            <w:r>
              <w:rPr>
                <w:rFonts w:ascii="Arial" w:eastAsia="Arial" w:hAnsi="Arial" w:cs="Arial"/>
                <w:sz w:val="18"/>
              </w:rPr>
              <w:t>tervishoiuteenustega sidumine, et inimene jõuaks vajalike teenusteni ni</w:t>
            </w:r>
            <w:r>
              <w:rPr>
                <w:rFonts w:ascii="Arial" w:eastAsia="Arial" w:hAnsi="Arial" w:cs="Arial"/>
                <w:sz w:val="18"/>
              </w:rPr>
              <w:t xml:space="preserve">ng jälgiks ravi, vajadusel esmased pere- või eriarsti vastuvõttude organiseerimine; </w:t>
            </w:r>
          </w:p>
          <w:p w:rsidR="00B661E0" w:rsidRDefault="00E27DD9">
            <w:pPr>
              <w:numPr>
                <w:ilvl w:val="1"/>
                <w:numId w:val="2"/>
              </w:numPr>
              <w:spacing w:after="0"/>
              <w:ind w:hanging="360"/>
            </w:pPr>
            <w:r>
              <w:rPr>
                <w:rFonts w:ascii="Arial" w:eastAsia="Arial" w:hAnsi="Arial" w:cs="Arial"/>
                <w:sz w:val="18"/>
              </w:rPr>
              <w:t xml:space="preserve">teavitustöö kogukonnas: kogukonna hirmude maandamine ja positiivse suhtumise tekkimise toetamine. </w:t>
            </w:r>
          </w:p>
          <w:p w:rsidR="00B661E0" w:rsidRDefault="00E27DD9">
            <w:pPr>
              <w:spacing w:after="0"/>
              <w:ind w:left="1440"/>
            </w:pPr>
            <w:r>
              <w:rPr>
                <w:rFonts w:ascii="Arial" w:eastAsia="Arial" w:hAnsi="Arial" w:cs="Arial"/>
                <w:sz w:val="18"/>
              </w:rPr>
              <w:t>Naabrite/kogukonna/ võrgustiku toetamine ja teavitamine, et tagada neile</w:t>
            </w:r>
            <w:r>
              <w:rPr>
                <w:rFonts w:ascii="Arial" w:eastAsia="Arial" w:hAnsi="Arial" w:cs="Arial"/>
                <w:sz w:val="18"/>
              </w:rPr>
              <w:t xml:space="preserve"> ja inimesele turvaline koostöö; </w:t>
            </w:r>
          </w:p>
          <w:p w:rsidR="00B661E0" w:rsidRDefault="00E27DD9">
            <w:pPr>
              <w:numPr>
                <w:ilvl w:val="1"/>
                <w:numId w:val="2"/>
              </w:numPr>
              <w:spacing w:after="0" w:line="246" w:lineRule="auto"/>
              <w:ind w:hanging="360"/>
            </w:pPr>
            <w:r>
              <w:rPr>
                <w:rFonts w:ascii="Arial" w:eastAsia="Arial" w:hAnsi="Arial" w:cs="Arial"/>
                <w:sz w:val="18"/>
              </w:rPr>
              <w:t xml:space="preserve">toetamine kogukonnateenuste kasutamisel: otsitakse võimalusi korraldada toetust viisil, et inimene seostatakse võimalikult maksimaalselt tegevustega tema loomulikus elukeskkonnas;  </w:t>
            </w:r>
          </w:p>
          <w:p w:rsidR="00B661E0" w:rsidRDefault="00E27DD9">
            <w:pPr>
              <w:numPr>
                <w:ilvl w:val="1"/>
                <w:numId w:val="2"/>
              </w:numPr>
              <w:spacing w:after="2" w:line="239" w:lineRule="auto"/>
              <w:ind w:hanging="360"/>
            </w:pPr>
            <w:r>
              <w:rPr>
                <w:rFonts w:ascii="Arial" w:eastAsia="Arial" w:hAnsi="Arial" w:cs="Arial"/>
                <w:sz w:val="18"/>
              </w:rPr>
              <w:t>nõustamine ja abi rahaliste toetuste tao</w:t>
            </w:r>
            <w:r>
              <w:rPr>
                <w:rFonts w:ascii="Arial" w:eastAsia="Arial" w:hAnsi="Arial" w:cs="Arial"/>
                <w:sz w:val="18"/>
              </w:rPr>
              <w:t>tlemisel, eestkoste korraldamisel. Käsitletav kui esmane toetus, kontaktide loomine, olukordade selgitamine sidusvaldkondade esindajatega, sh sissetuleku tagamisel, nt töövõime või puude hindamise õiguse välja selgitamisel abistamine ja asjaajamise korrald</w:t>
            </w:r>
            <w:r>
              <w:rPr>
                <w:rFonts w:ascii="Arial" w:eastAsia="Arial" w:hAnsi="Arial" w:cs="Arial"/>
                <w:sz w:val="18"/>
              </w:rPr>
              <w:t xml:space="preserve">amine, tagamaks, et inimesele tekkiks võimalus regulaarseks sissetulekuks.  </w:t>
            </w:r>
          </w:p>
          <w:p w:rsidR="00B661E0" w:rsidRDefault="00E27DD9">
            <w:pPr>
              <w:spacing w:after="194" w:line="278" w:lineRule="auto"/>
            </w:pPr>
            <w:r>
              <w:rPr>
                <w:rFonts w:ascii="Arial" w:eastAsia="Arial" w:hAnsi="Arial" w:cs="Arial"/>
                <w:sz w:val="18"/>
              </w:rPr>
              <w:t>Komponendi tegevused on oma iseloomult ühe töötaja poolt läbi viidavad tegevused, mida tehakse inimese vajadustest ja huvidest lähtuvalt. Need on vajalikud tegevusplaani kui tervi</w:t>
            </w:r>
            <w:r>
              <w:rPr>
                <w:rFonts w:ascii="Arial" w:eastAsia="Arial" w:hAnsi="Arial" w:cs="Arial"/>
                <w:sz w:val="18"/>
              </w:rPr>
              <w:t xml:space="preserve">ku ja seal olevate teenuskomponentide rakendamiseks ja elluviimiseks.  </w:t>
            </w:r>
          </w:p>
          <w:p w:rsidR="00B661E0" w:rsidRDefault="00E27DD9">
            <w:pPr>
              <w:spacing w:after="0"/>
            </w:pPr>
            <w:r>
              <w:rPr>
                <w:rFonts w:ascii="Arial" w:eastAsia="Arial" w:hAnsi="Arial" w:cs="Arial"/>
                <w:sz w:val="18"/>
              </w:rPr>
              <w:t>Teenusplaani elluviimise tagamise komponent ei sisalda muid teenuse sisutegevusi. Teenuskomponent ei ole igapäevaselt inimese kõrval toimetamine ja sisuliste tegevuste läbiviimine. Kui</w:t>
            </w:r>
            <w:r>
              <w:rPr>
                <w:rFonts w:ascii="Arial" w:eastAsia="Arial" w:hAnsi="Arial" w:cs="Arial"/>
                <w:sz w:val="18"/>
              </w:rPr>
              <w:t xml:space="preserve"> on vajadus muude individuaalsete sisutegevuste järele, nt igapäevaelu regulaarsed tegevused ja toimetamised vastavalt abivajadusele, siis on tegemist lisatoetuse komponentidega (nt igapäevaelu toetamine,  füüsilise tervise, liikumise toetamine vms). </w:t>
            </w:r>
          </w:p>
        </w:tc>
        <w:tc>
          <w:tcPr>
            <w:tcW w:w="1984" w:type="dxa"/>
            <w:tcBorders>
              <w:top w:val="single" w:sz="4" w:space="0" w:color="000000"/>
              <w:left w:val="single" w:sz="4" w:space="0" w:color="000000"/>
              <w:bottom w:val="single" w:sz="4" w:space="0" w:color="000000"/>
              <w:right w:val="single" w:sz="4" w:space="0" w:color="000000"/>
            </w:tcBorders>
          </w:tcPr>
          <w:p w:rsidR="00B661E0" w:rsidRDefault="00E27DD9">
            <w:pPr>
              <w:spacing w:after="0"/>
              <w:ind w:left="4"/>
              <w:jc w:val="center"/>
            </w:pPr>
            <w:r>
              <w:rPr>
                <w:rFonts w:ascii="Arial" w:eastAsia="Arial" w:hAnsi="Arial" w:cs="Arial"/>
                <w:color w:val="548DD4"/>
                <w:sz w:val="18"/>
              </w:rPr>
              <w:t xml:space="preserve"> </w:t>
            </w:r>
          </w:p>
          <w:p w:rsidR="00B661E0" w:rsidRDefault="00E27DD9">
            <w:pPr>
              <w:spacing w:after="0"/>
              <w:ind w:left="4"/>
              <w:jc w:val="center"/>
            </w:pPr>
            <w:r>
              <w:rPr>
                <w:rFonts w:ascii="Arial" w:eastAsia="Arial" w:hAnsi="Arial" w:cs="Arial"/>
                <w:color w:val="548DD4"/>
                <w:sz w:val="18"/>
              </w:rPr>
              <w:t xml:space="preserve"> </w:t>
            </w:r>
          </w:p>
          <w:p w:rsidR="00B661E0" w:rsidRDefault="00E27DD9">
            <w:pPr>
              <w:spacing w:after="0"/>
              <w:ind w:left="4"/>
              <w:jc w:val="center"/>
            </w:pPr>
            <w:r>
              <w:rPr>
                <w:rFonts w:ascii="Arial" w:eastAsia="Arial" w:hAnsi="Arial" w:cs="Arial"/>
                <w:color w:val="548DD4"/>
                <w:sz w:val="18"/>
              </w:rPr>
              <w:t xml:space="preserve"> </w:t>
            </w:r>
          </w:p>
          <w:p w:rsidR="00B661E0" w:rsidRDefault="00E27DD9">
            <w:pPr>
              <w:spacing w:after="0"/>
              <w:ind w:left="4"/>
              <w:jc w:val="center"/>
            </w:pPr>
            <w:r>
              <w:rPr>
                <w:rFonts w:ascii="Arial" w:eastAsia="Arial" w:hAnsi="Arial" w:cs="Arial"/>
                <w:color w:val="548DD4"/>
                <w:sz w:val="18"/>
              </w:rPr>
              <w:t xml:space="preserve"> </w:t>
            </w:r>
          </w:p>
          <w:p w:rsidR="00B661E0" w:rsidRDefault="00E27DD9">
            <w:pPr>
              <w:spacing w:after="0"/>
              <w:ind w:left="50"/>
            </w:pPr>
            <w:r>
              <w:rPr>
                <w:rFonts w:ascii="Arial" w:eastAsia="Arial" w:hAnsi="Arial" w:cs="Arial"/>
                <w:sz w:val="18"/>
              </w:rPr>
              <w:t xml:space="preserve">Individuaalne tegevus </w:t>
            </w:r>
          </w:p>
        </w:tc>
      </w:tr>
      <w:tr w:rsidR="00B661E0">
        <w:trPr>
          <w:trHeight w:val="2497"/>
        </w:trPr>
        <w:tc>
          <w:tcPr>
            <w:tcW w:w="1978" w:type="dxa"/>
            <w:tcBorders>
              <w:top w:val="single" w:sz="4" w:space="0" w:color="000000"/>
              <w:left w:val="single" w:sz="4" w:space="0" w:color="000000"/>
              <w:bottom w:val="single" w:sz="4" w:space="0" w:color="000000"/>
              <w:right w:val="single" w:sz="4" w:space="0" w:color="000000"/>
            </w:tcBorders>
          </w:tcPr>
          <w:p w:rsidR="00B661E0" w:rsidRDefault="00E27DD9">
            <w:pPr>
              <w:spacing w:after="0"/>
            </w:pPr>
            <w:r>
              <w:rPr>
                <w:rFonts w:ascii="Arial" w:eastAsia="Arial" w:hAnsi="Arial" w:cs="Arial"/>
                <w:b/>
                <w:sz w:val="18"/>
              </w:rPr>
              <w:t xml:space="preserve"> </w:t>
            </w:r>
          </w:p>
          <w:p w:rsidR="00B661E0" w:rsidRDefault="00E27DD9">
            <w:pPr>
              <w:spacing w:after="0"/>
            </w:pPr>
            <w:r>
              <w:rPr>
                <w:rFonts w:ascii="Arial" w:eastAsia="Arial" w:hAnsi="Arial" w:cs="Arial"/>
                <w:b/>
                <w:sz w:val="18"/>
              </w:rPr>
              <w:t xml:space="preserve"> </w:t>
            </w:r>
          </w:p>
          <w:p w:rsidR="00B661E0" w:rsidRDefault="00E27DD9">
            <w:pPr>
              <w:spacing w:after="0"/>
            </w:pPr>
            <w:r>
              <w:rPr>
                <w:rFonts w:ascii="Arial" w:eastAsia="Arial" w:hAnsi="Arial" w:cs="Arial"/>
                <w:b/>
                <w:sz w:val="18"/>
              </w:rPr>
              <w:t xml:space="preserve"> </w:t>
            </w:r>
          </w:p>
          <w:p w:rsidR="00B661E0" w:rsidRDefault="00E27DD9">
            <w:pPr>
              <w:spacing w:after="0"/>
            </w:pPr>
            <w:r>
              <w:rPr>
                <w:rFonts w:ascii="Arial" w:eastAsia="Arial" w:hAnsi="Arial" w:cs="Arial"/>
                <w:b/>
                <w:sz w:val="18"/>
              </w:rPr>
              <w:t xml:space="preserve">Välise spetsialisti/eksperdi konsultatsioon teenuse planeerimiseks </w:t>
            </w:r>
          </w:p>
        </w:tc>
        <w:tc>
          <w:tcPr>
            <w:tcW w:w="10775" w:type="dxa"/>
            <w:tcBorders>
              <w:top w:val="single" w:sz="4" w:space="0" w:color="000000"/>
              <w:left w:val="single" w:sz="4" w:space="0" w:color="000000"/>
              <w:bottom w:val="single" w:sz="4" w:space="0" w:color="000000"/>
              <w:right w:val="single" w:sz="4" w:space="0" w:color="000000"/>
            </w:tcBorders>
          </w:tcPr>
          <w:p w:rsidR="00B661E0" w:rsidRDefault="00E27DD9">
            <w:pPr>
              <w:spacing w:after="2" w:line="240" w:lineRule="auto"/>
            </w:pPr>
            <w:r>
              <w:rPr>
                <w:rFonts w:ascii="Arial" w:eastAsia="Arial" w:hAnsi="Arial" w:cs="Arial"/>
                <w:sz w:val="18"/>
              </w:rPr>
              <w:t>Välise spetsialisti konsultatsiooni eesmärk on pakkuda lisapädevuse kaasamise võimalust baastoetuse osutajale teenuse planeerimisel. Lisapädevuse kaasamise vajadus võib tuleneda keerulisest kliendijuhtumist, kus baastoetuse osutajal puudub spetsiifilise ps</w:t>
            </w:r>
            <w:r>
              <w:rPr>
                <w:rFonts w:ascii="Arial" w:eastAsia="Arial" w:hAnsi="Arial" w:cs="Arial"/>
                <w:sz w:val="18"/>
              </w:rPr>
              <w:t>üühilise erivajadusega sihtgrupiga töös kogemus. Komponendi raames on võimalik sisse osta konsultatsiooni spetsialistidelt/ekspertidelt, kel on rehabilitatsioonispetsialisti pädevus ja/või kogemus väga spetsiifiliste või keeruliste kliendigruppidega.</w:t>
            </w:r>
            <w:r>
              <w:rPr>
                <w:rFonts w:ascii="Arial" w:eastAsia="Arial" w:hAnsi="Arial" w:cs="Arial"/>
                <w:color w:val="FF0000"/>
                <w:sz w:val="18"/>
              </w:rPr>
              <w:t xml:space="preserve"> </w:t>
            </w:r>
          </w:p>
          <w:p w:rsidR="00B661E0" w:rsidRDefault="00E27DD9">
            <w:pPr>
              <w:spacing w:after="0"/>
            </w:pPr>
            <w:r>
              <w:rPr>
                <w:rFonts w:ascii="Arial" w:eastAsia="Arial" w:hAnsi="Arial" w:cs="Arial"/>
                <w:color w:val="FF0000"/>
                <w:sz w:val="18"/>
              </w:rPr>
              <w:t xml:space="preserve"> </w:t>
            </w:r>
          </w:p>
          <w:p w:rsidR="00B661E0" w:rsidRDefault="00E27DD9">
            <w:pPr>
              <w:spacing w:after="0" w:line="239" w:lineRule="auto"/>
            </w:pPr>
            <w:r>
              <w:rPr>
                <w:rFonts w:ascii="Arial" w:eastAsia="Arial" w:hAnsi="Arial" w:cs="Arial"/>
                <w:sz w:val="18"/>
              </w:rPr>
              <w:t>Ba</w:t>
            </w:r>
            <w:r>
              <w:rPr>
                <w:rFonts w:ascii="Arial" w:eastAsia="Arial" w:hAnsi="Arial" w:cs="Arial"/>
                <w:sz w:val="18"/>
              </w:rPr>
              <w:t xml:space="preserve">astoetuse osutaja saab välist spetsialisti kaasata teenuse planeerimise protsessis, enne tegevusplaani valmimist, aga ka regulaarse toetusvajaduse ja tegevusplaani ülevaatamise käigus ja muudatuste planeerimisel.  </w:t>
            </w:r>
          </w:p>
          <w:p w:rsidR="00B661E0" w:rsidRDefault="00E27DD9">
            <w:pPr>
              <w:spacing w:after="0"/>
            </w:pPr>
            <w:r>
              <w:rPr>
                <w:rFonts w:ascii="Arial" w:eastAsia="Arial" w:hAnsi="Arial" w:cs="Arial"/>
                <w:sz w:val="18"/>
              </w:rPr>
              <w:t xml:space="preserve"> </w:t>
            </w:r>
          </w:p>
          <w:p w:rsidR="00B661E0" w:rsidRDefault="00E27DD9">
            <w:pPr>
              <w:spacing w:after="0"/>
              <w:ind w:right="49"/>
            </w:pPr>
            <w:r>
              <w:rPr>
                <w:rFonts w:ascii="Arial" w:eastAsia="Arial" w:hAnsi="Arial" w:cs="Arial"/>
                <w:i/>
                <w:sz w:val="18"/>
              </w:rPr>
              <w:t>Näiteks on võimalik kaasata eripädevusega väline ekspert juhtumite puhul, kus inimene keeldub abist madala haigusteadlikkuse tõttu, kuid sotsiaaltöötaja hinnangul vajab juhtum sekkumist. Väline ekspert aitab sel juhul baastoetuse osutajal koostada toetuspl</w:t>
            </w:r>
            <w:r>
              <w:rPr>
                <w:rFonts w:ascii="Arial" w:eastAsia="Arial" w:hAnsi="Arial" w:cs="Arial"/>
                <w:i/>
                <w:sz w:val="18"/>
              </w:rPr>
              <w:t>aani kontakti loomiseks ja koostöövalmiduse saavutamiseks.</w:t>
            </w:r>
            <w:r>
              <w:rPr>
                <w:rFonts w:ascii="Arial" w:eastAsia="Arial" w:hAnsi="Arial" w:cs="Arial"/>
                <w:sz w:val="18"/>
              </w:rPr>
              <w:t xml:space="preserve"> </w:t>
            </w:r>
          </w:p>
        </w:tc>
        <w:tc>
          <w:tcPr>
            <w:tcW w:w="1984" w:type="dxa"/>
            <w:tcBorders>
              <w:top w:val="single" w:sz="4" w:space="0" w:color="000000"/>
              <w:left w:val="single" w:sz="4" w:space="0" w:color="000000"/>
              <w:bottom w:val="single" w:sz="4" w:space="0" w:color="000000"/>
              <w:right w:val="single" w:sz="4" w:space="0" w:color="000000"/>
            </w:tcBorders>
          </w:tcPr>
          <w:p w:rsidR="00B661E0" w:rsidRDefault="00E27DD9">
            <w:pPr>
              <w:spacing w:after="0"/>
            </w:pPr>
            <w:r>
              <w:rPr>
                <w:rFonts w:ascii="Arial" w:eastAsia="Arial" w:hAnsi="Arial" w:cs="Arial"/>
                <w:sz w:val="18"/>
              </w:rPr>
              <w:t xml:space="preserve"> </w:t>
            </w:r>
          </w:p>
          <w:p w:rsidR="00B661E0" w:rsidRDefault="00E27DD9">
            <w:pPr>
              <w:spacing w:after="0"/>
            </w:pPr>
            <w:r>
              <w:rPr>
                <w:rFonts w:ascii="Arial" w:eastAsia="Arial" w:hAnsi="Arial" w:cs="Arial"/>
                <w:sz w:val="18"/>
              </w:rPr>
              <w:t xml:space="preserve"> </w:t>
            </w:r>
          </w:p>
          <w:p w:rsidR="00B661E0" w:rsidRDefault="00E27DD9">
            <w:pPr>
              <w:spacing w:after="0"/>
            </w:pPr>
            <w:r>
              <w:rPr>
                <w:rFonts w:ascii="Arial" w:eastAsia="Arial" w:hAnsi="Arial" w:cs="Arial"/>
                <w:sz w:val="18"/>
              </w:rPr>
              <w:t xml:space="preserve"> </w:t>
            </w:r>
          </w:p>
          <w:p w:rsidR="00B661E0" w:rsidRDefault="00E27DD9">
            <w:pPr>
              <w:spacing w:after="0"/>
              <w:jc w:val="both"/>
            </w:pPr>
            <w:r>
              <w:rPr>
                <w:rFonts w:ascii="Arial" w:eastAsia="Arial" w:hAnsi="Arial" w:cs="Arial"/>
                <w:sz w:val="18"/>
              </w:rPr>
              <w:t xml:space="preserve">Individuaalne tegevus  </w:t>
            </w:r>
          </w:p>
        </w:tc>
      </w:tr>
    </w:tbl>
    <w:p w:rsidR="00B661E0" w:rsidRDefault="00E27DD9">
      <w:pPr>
        <w:spacing w:after="0"/>
      </w:pPr>
      <w:r>
        <w:rPr>
          <w:rFonts w:ascii="Verdana" w:eastAsia="Verdana" w:hAnsi="Verdana" w:cs="Verdana"/>
        </w:rPr>
        <w:t xml:space="preserve"> </w:t>
      </w:r>
    </w:p>
    <w:sectPr w:rsidR="00B661E0">
      <w:pgSz w:w="16838" w:h="11906" w:orient="landscape"/>
      <w:pgMar w:top="720" w:right="3504" w:bottom="762" w:left="72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BA"/>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31ECD"/>
    <w:multiLevelType w:val="hybridMultilevel"/>
    <w:tmpl w:val="ADEE361A"/>
    <w:lvl w:ilvl="0" w:tplc="E22AEB88">
      <w:start w:val="1"/>
      <w:numFmt w:val="lowerLetter"/>
      <w:lvlText w:val="%1)"/>
      <w:lvlJc w:val="left"/>
      <w:pPr>
        <w:ind w:left="72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5538E098">
      <w:start w:val="1"/>
      <w:numFmt w:val="lowerLetter"/>
      <w:lvlText w:val="%2"/>
      <w:lvlJc w:val="left"/>
      <w:pPr>
        <w:ind w:left="151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D7CA019E">
      <w:start w:val="1"/>
      <w:numFmt w:val="lowerRoman"/>
      <w:lvlText w:val="%3"/>
      <w:lvlJc w:val="left"/>
      <w:pPr>
        <w:ind w:left="223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4A282F58">
      <w:start w:val="1"/>
      <w:numFmt w:val="decimal"/>
      <w:lvlText w:val="%4"/>
      <w:lvlJc w:val="left"/>
      <w:pPr>
        <w:ind w:left="295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B0D2D480">
      <w:start w:val="1"/>
      <w:numFmt w:val="lowerLetter"/>
      <w:lvlText w:val="%5"/>
      <w:lvlJc w:val="left"/>
      <w:pPr>
        <w:ind w:left="367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EF44C224">
      <w:start w:val="1"/>
      <w:numFmt w:val="lowerRoman"/>
      <w:lvlText w:val="%6"/>
      <w:lvlJc w:val="left"/>
      <w:pPr>
        <w:ind w:left="439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839EB6AE">
      <w:start w:val="1"/>
      <w:numFmt w:val="decimal"/>
      <w:lvlText w:val="%7"/>
      <w:lvlJc w:val="left"/>
      <w:pPr>
        <w:ind w:left="511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BADE8112">
      <w:start w:val="1"/>
      <w:numFmt w:val="lowerLetter"/>
      <w:lvlText w:val="%8"/>
      <w:lvlJc w:val="left"/>
      <w:pPr>
        <w:ind w:left="583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FD58E018">
      <w:start w:val="1"/>
      <w:numFmt w:val="lowerRoman"/>
      <w:lvlText w:val="%9"/>
      <w:lvlJc w:val="left"/>
      <w:pPr>
        <w:ind w:left="655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 w15:restartNumberingAfterBreak="0">
    <w:nsid w:val="03724B17"/>
    <w:multiLevelType w:val="hybridMultilevel"/>
    <w:tmpl w:val="F85ED684"/>
    <w:lvl w:ilvl="0" w:tplc="43BCEB86">
      <w:start w:val="1"/>
      <w:numFmt w:val="decimal"/>
      <w:lvlText w:val="%1."/>
      <w:lvlJc w:val="left"/>
      <w:pPr>
        <w:ind w:left="49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0014439A">
      <w:start w:val="1"/>
      <w:numFmt w:val="lowerLetter"/>
      <w:lvlText w:val="%2)"/>
      <w:lvlJc w:val="left"/>
      <w:pPr>
        <w:ind w:left="14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F36E457A">
      <w:start w:val="1"/>
      <w:numFmt w:val="lowerRoman"/>
      <w:lvlText w:val="%3"/>
      <w:lvlJc w:val="left"/>
      <w:pPr>
        <w:ind w:left="223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D86ADE28">
      <w:start w:val="1"/>
      <w:numFmt w:val="decimal"/>
      <w:lvlText w:val="%4"/>
      <w:lvlJc w:val="left"/>
      <w:pPr>
        <w:ind w:left="295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4594C97C">
      <w:start w:val="1"/>
      <w:numFmt w:val="lowerLetter"/>
      <w:lvlText w:val="%5"/>
      <w:lvlJc w:val="left"/>
      <w:pPr>
        <w:ind w:left="367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47CCECA8">
      <w:start w:val="1"/>
      <w:numFmt w:val="lowerRoman"/>
      <w:lvlText w:val="%6"/>
      <w:lvlJc w:val="left"/>
      <w:pPr>
        <w:ind w:left="439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7416F536">
      <w:start w:val="1"/>
      <w:numFmt w:val="decimal"/>
      <w:lvlText w:val="%7"/>
      <w:lvlJc w:val="left"/>
      <w:pPr>
        <w:ind w:left="511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AD74D70C">
      <w:start w:val="1"/>
      <w:numFmt w:val="lowerLetter"/>
      <w:lvlText w:val="%8"/>
      <w:lvlJc w:val="left"/>
      <w:pPr>
        <w:ind w:left="583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92C2A188">
      <w:start w:val="1"/>
      <w:numFmt w:val="lowerRoman"/>
      <w:lvlText w:val="%9"/>
      <w:lvlJc w:val="left"/>
      <w:pPr>
        <w:ind w:left="655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2" w15:restartNumberingAfterBreak="0">
    <w:nsid w:val="07481471"/>
    <w:multiLevelType w:val="hybridMultilevel"/>
    <w:tmpl w:val="E264A896"/>
    <w:lvl w:ilvl="0" w:tplc="1E120762">
      <w:start w:val="1"/>
      <w:numFmt w:val="decimal"/>
      <w:lvlText w:val="%1)"/>
      <w:lvlJc w:val="left"/>
      <w:pPr>
        <w:ind w:left="72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7AEC2758">
      <w:start w:val="1"/>
      <w:numFmt w:val="lowerLetter"/>
      <w:lvlText w:val="%2"/>
      <w:lvlJc w:val="left"/>
      <w:pPr>
        <w:ind w:left="151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E0A49AFE">
      <w:start w:val="1"/>
      <w:numFmt w:val="lowerRoman"/>
      <w:lvlText w:val="%3"/>
      <w:lvlJc w:val="left"/>
      <w:pPr>
        <w:ind w:left="223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890ABAF4">
      <w:start w:val="1"/>
      <w:numFmt w:val="decimal"/>
      <w:lvlText w:val="%4"/>
      <w:lvlJc w:val="left"/>
      <w:pPr>
        <w:ind w:left="295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B9E64BD0">
      <w:start w:val="1"/>
      <w:numFmt w:val="lowerLetter"/>
      <w:lvlText w:val="%5"/>
      <w:lvlJc w:val="left"/>
      <w:pPr>
        <w:ind w:left="367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C88401AE">
      <w:start w:val="1"/>
      <w:numFmt w:val="lowerRoman"/>
      <w:lvlText w:val="%6"/>
      <w:lvlJc w:val="left"/>
      <w:pPr>
        <w:ind w:left="439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DFD0AF2C">
      <w:start w:val="1"/>
      <w:numFmt w:val="decimal"/>
      <w:lvlText w:val="%7"/>
      <w:lvlJc w:val="left"/>
      <w:pPr>
        <w:ind w:left="511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A3267D38">
      <w:start w:val="1"/>
      <w:numFmt w:val="lowerLetter"/>
      <w:lvlText w:val="%8"/>
      <w:lvlJc w:val="left"/>
      <w:pPr>
        <w:ind w:left="583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61683B6A">
      <w:start w:val="1"/>
      <w:numFmt w:val="lowerRoman"/>
      <w:lvlText w:val="%9"/>
      <w:lvlJc w:val="left"/>
      <w:pPr>
        <w:ind w:left="655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3" w15:restartNumberingAfterBreak="0">
    <w:nsid w:val="13EB4157"/>
    <w:multiLevelType w:val="hybridMultilevel"/>
    <w:tmpl w:val="B48CE490"/>
    <w:lvl w:ilvl="0" w:tplc="2C4E3918">
      <w:start w:val="1"/>
      <w:numFmt w:val="lowerLetter"/>
      <w:lvlText w:val="%1)"/>
      <w:lvlJc w:val="left"/>
      <w:pPr>
        <w:ind w:left="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DB061788">
      <w:start w:val="1"/>
      <w:numFmt w:val="lowerLetter"/>
      <w:lvlText w:val="%2"/>
      <w:lvlJc w:val="left"/>
      <w:pPr>
        <w:ind w:left="115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2B825EE2">
      <w:start w:val="1"/>
      <w:numFmt w:val="lowerRoman"/>
      <w:lvlText w:val="%3"/>
      <w:lvlJc w:val="left"/>
      <w:pPr>
        <w:ind w:left="187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943A1922">
      <w:start w:val="1"/>
      <w:numFmt w:val="decimal"/>
      <w:lvlText w:val="%4"/>
      <w:lvlJc w:val="left"/>
      <w:pPr>
        <w:ind w:left="259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AFCA8C06">
      <w:start w:val="1"/>
      <w:numFmt w:val="lowerLetter"/>
      <w:lvlText w:val="%5"/>
      <w:lvlJc w:val="left"/>
      <w:pPr>
        <w:ind w:left="331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5EF69266">
      <w:start w:val="1"/>
      <w:numFmt w:val="lowerRoman"/>
      <w:lvlText w:val="%6"/>
      <w:lvlJc w:val="left"/>
      <w:pPr>
        <w:ind w:left="403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CACEFDAA">
      <w:start w:val="1"/>
      <w:numFmt w:val="decimal"/>
      <w:lvlText w:val="%7"/>
      <w:lvlJc w:val="left"/>
      <w:pPr>
        <w:ind w:left="475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2270AD74">
      <w:start w:val="1"/>
      <w:numFmt w:val="lowerLetter"/>
      <w:lvlText w:val="%8"/>
      <w:lvlJc w:val="left"/>
      <w:pPr>
        <w:ind w:left="547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DF044818">
      <w:start w:val="1"/>
      <w:numFmt w:val="lowerRoman"/>
      <w:lvlText w:val="%9"/>
      <w:lvlJc w:val="left"/>
      <w:pPr>
        <w:ind w:left="619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4" w15:restartNumberingAfterBreak="0">
    <w:nsid w:val="26456A28"/>
    <w:multiLevelType w:val="hybridMultilevel"/>
    <w:tmpl w:val="77567B4A"/>
    <w:lvl w:ilvl="0" w:tplc="251E6746">
      <w:start w:val="1"/>
      <w:numFmt w:val="decimal"/>
      <w:lvlText w:val="%1."/>
      <w:lvlJc w:val="left"/>
      <w:pPr>
        <w:ind w:left="72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50B6C910">
      <w:start w:val="1"/>
      <w:numFmt w:val="lowerLetter"/>
      <w:lvlText w:val="%2"/>
      <w:lvlJc w:val="left"/>
      <w:pPr>
        <w:ind w:left="151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DE608638">
      <w:start w:val="1"/>
      <w:numFmt w:val="lowerRoman"/>
      <w:lvlText w:val="%3"/>
      <w:lvlJc w:val="left"/>
      <w:pPr>
        <w:ind w:left="223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93A0E95A">
      <w:start w:val="1"/>
      <w:numFmt w:val="decimal"/>
      <w:lvlText w:val="%4"/>
      <w:lvlJc w:val="left"/>
      <w:pPr>
        <w:ind w:left="295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CBD2B76C">
      <w:start w:val="1"/>
      <w:numFmt w:val="lowerLetter"/>
      <w:lvlText w:val="%5"/>
      <w:lvlJc w:val="left"/>
      <w:pPr>
        <w:ind w:left="367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288CEF2C">
      <w:start w:val="1"/>
      <w:numFmt w:val="lowerRoman"/>
      <w:lvlText w:val="%6"/>
      <w:lvlJc w:val="left"/>
      <w:pPr>
        <w:ind w:left="439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325A0FB2">
      <w:start w:val="1"/>
      <w:numFmt w:val="decimal"/>
      <w:lvlText w:val="%7"/>
      <w:lvlJc w:val="left"/>
      <w:pPr>
        <w:ind w:left="511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9D9CD0A6">
      <w:start w:val="1"/>
      <w:numFmt w:val="lowerLetter"/>
      <w:lvlText w:val="%8"/>
      <w:lvlJc w:val="left"/>
      <w:pPr>
        <w:ind w:left="583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10B0978A">
      <w:start w:val="1"/>
      <w:numFmt w:val="lowerRoman"/>
      <w:lvlText w:val="%9"/>
      <w:lvlJc w:val="left"/>
      <w:pPr>
        <w:ind w:left="655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5" w15:restartNumberingAfterBreak="0">
    <w:nsid w:val="2B924951"/>
    <w:multiLevelType w:val="hybridMultilevel"/>
    <w:tmpl w:val="DEB66BDE"/>
    <w:lvl w:ilvl="0" w:tplc="B7C6ACD2">
      <w:start w:val="1"/>
      <w:numFmt w:val="bullet"/>
      <w:lvlText w:val="•"/>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9AB810EE">
      <w:start w:val="1"/>
      <w:numFmt w:val="bullet"/>
      <w:lvlText w:val="o"/>
      <w:lvlJc w:val="left"/>
      <w:pPr>
        <w:ind w:left="150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B5C4CE76">
      <w:start w:val="1"/>
      <w:numFmt w:val="bullet"/>
      <w:lvlText w:val="▪"/>
      <w:lvlJc w:val="left"/>
      <w:pPr>
        <w:ind w:left="222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FFC6EF0C">
      <w:start w:val="1"/>
      <w:numFmt w:val="bullet"/>
      <w:lvlText w:val="•"/>
      <w:lvlJc w:val="left"/>
      <w:pPr>
        <w:ind w:left="29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530EBBB2">
      <w:start w:val="1"/>
      <w:numFmt w:val="bullet"/>
      <w:lvlText w:val="o"/>
      <w:lvlJc w:val="left"/>
      <w:pPr>
        <w:ind w:left="366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1A8E0654">
      <w:start w:val="1"/>
      <w:numFmt w:val="bullet"/>
      <w:lvlText w:val="▪"/>
      <w:lvlJc w:val="left"/>
      <w:pPr>
        <w:ind w:left="438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049AF408">
      <w:start w:val="1"/>
      <w:numFmt w:val="bullet"/>
      <w:lvlText w:val="•"/>
      <w:lvlJc w:val="left"/>
      <w:pPr>
        <w:ind w:left="510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7C5AEA8A">
      <w:start w:val="1"/>
      <w:numFmt w:val="bullet"/>
      <w:lvlText w:val="o"/>
      <w:lvlJc w:val="left"/>
      <w:pPr>
        <w:ind w:left="582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7166E32E">
      <w:start w:val="1"/>
      <w:numFmt w:val="bullet"/>
      <w:lvlText w:val="▪"/>
      <w:lvlJc w:val="left"/>
      <w:pPr>
        <w:ind w:left="654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6" w15:restartNumberingAfterBreak="0">
    <w:nsid w:val="3DEA75DA"/>
    <w:multiLevelType w:val="hybridMultilevel"/>
    <w:tmpl w:val="01B6EF7A"/>
    <w:lvl w:ilvl="0" w:tplc="D8561514">
      <w:start w:val="2"/>
      <w:numFmt w:val="lowerLetter"/>
      <w:lvlText w:val="%1)"/>
      <w:lvlJc w:val="left"/>
      <w:pPr>
        <w:ind w:left="72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04E2C828">
      <w:start w:val="1"/>
      <w:numFmt w:val="lowerLetter"/>
      <w:lvlText w:val="%2"/>
      <w:lvlJc w:val="left"/>
      <w:pPr>
        <w:ind w:left="151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30DE2B98">
      <w:start w:val="1"/>
      <w:numFmt w:val="lowerRoman"/>
      <w:lvlText w:val="%3"/>
      <w:lvlJc w:val="left"/>
      <w:pPr>
        <w:ind w:left="223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DAA69140">
      <w:start w:val="1"/>
      <w:numFmt w:val="decimal"/>
      <w:lvlText w:val="%4"/>
      <w:lvlJc w:val="left"/>
      <w:pPr>
        <w:ind w:left="295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CF62A07A">
      <w:start w:val="1"/>
      <w:numFmt w:val="lowerLetter"/>
      <w:lvlText w:val="%5"/>
      <w:lvlJc w:val="left"/>
      <w:pPr>
        <w:ind w:left="367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174AB70A">
      <w:start w:val="1"/>
      <w:numFmt w:val="lowerRoman"/>
      <w:lvlText w:val="%6"/>
      <w:lvlJc w:val="left"/>
      <w:pPr>
        <w:ind w:left="439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75D28ABC">
      <w:start w:val="1"/>
      <w:numFmt w:val="decimal"/>
      <w:lvlText w:val="%7"/>
      <w:lvlJc w:val="left"/>
      <w:pPr>
        <w:ind w:left="511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C42C85B8">
      <w:start w:val="1"/>
      <w:numFmt w:val="lowerLetter"/>
      <w:lvlText w:val="%8"/>
      <w:lvlJc w:val="left"/>
      <w:pPr>
        <w:ind w:left="583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81A86EE8">
      <w:start w:val="1"/>
      <w:numFmt w:val="lowerRoman"/>
      <w:lvlText w:val="%9"/>
      <w:lvlJc w:val="left"/>
      <w:pPr>
        <w:ind w:left="655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7" w15:restartNumberingAfterBreak="0">
    <w:nsid w:val="54504C58"/>
    <w:multiLevelType w:val="hybridMultilevel"/>
    <w:tmpl w:val="FEE08278"/>
    <w:lvl w:ilvl="0" w:tplc="A7DC2DCE">
      <w:start w:val="1"/>
      <w:numFmt w:val="lowerLetter"/>
      <w:lvlText w:val="%1)"/>
      <w:lvlJc w:val="left"/>
      <w:pPr>
        <w:ind w:left="72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862817B4">
      <w:start w:val="1"/>
      <w:numFmt w:val="lowerLetter"/>
      <w:lvlText w:val="%2"/>
      <w:lvlJc w:val="left"/>
      <w:pPr>
        <w:ind w:left="16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DD9C2742">
      <w:start w:val="1"/>
      <w:numFmt w:val="lowerRoman"/>
      <w:lvlText w:val="%3"/>
      <w:lvlJc w:val="left"/>
      <w:pPr>
        <w:ind w:left="23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9C922F8C">
      <w:start w:val="1"/>
      <w:numFmt w:val="decimal"/>
      <w:lvlText w:val="%4"/>
      <w:lvlJc w:val="left"/>
      <w:pPr>
        <w:ind w:left="30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57581F0C">
      <w:start w:val="1"/>
      <w:numFmt w:val="lowerLetter"/>
      <w:lvlText w:val="%5"/>
      <w:lvlJc w:val="left"/>
      <w:pPr>
        <w:ind w:left="37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91B8CC80">
      <w:start w:val="1"/>
      <w:numFmt w:val="lowerRoman"/>
      <w:lvlText w:val="%6"/>
      <w:lvlJc w:val="left"/>
      <w:pPr>
        <w:ind w:left="44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DE9A7BC0">
      <w:start w:val="1"/>
      <w:numFmt w:val="decimal"/>
      <w:lvlText w:val="%7"/>
      <w:lvlJc w:val="left"/>
      <w:pPr>
        <w:ind w:left="52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FAF8C6CE">
      <w:start w:val="1"/>
      <w:numFmt w:val="lowerLetter"/>
      <w:lvlText w:val="%8"/>
      <w:lvlJc w:val="left"/>
      <w:pPr>
        <w:ind w:left="59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846A54F0">
      <w:start w:val="1"/>
      <w:numFmt w:val="lowerRoman"/>
      <w:lvlText w:val="%9"/>
      <w:lvlJc w:val="left"/>
      <w:pPr>
        <w:ind w:left="66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num w:numId="1">
    <w:abstractNumId w:val="4"/>
  </w:num>
  <w:num w:numId="2">
    <w:abstractNumId w:val="1"/>
  </w:num>
  <w:num w:numId="3">
    <w:abstractNumId w:val="5"/>
  </w:num>
  <w:num w:numId="4">
    <w:abstractNumId w:val="2"/>
  </w:num>
  <w:num w:numId="5">
    <w:abstractNumId w:val="7"/>
  </w:num>
  <w:num w:numId="6">
    <w:abstractNumId w:val="0"/>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61E0"/>
    <w:rsid w:val="00B661E0"/>
    <w:rsid w:val="00E27DD9"/>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7EBAE7C-69B2-42C0-AC71-23E5D9105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t-EE" w:eastAsia="et-E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laad">
    <w:name w:val="Normal"/>
    <w:qFormat/>
    <w:rPr>
      <w:rFonts w:ascii="Calibri" w:eastAsia="Calibri" w:hAnsi="Calibri" w:cs="Calibri"/>
      <w:color w:val="000000"/>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929</Words>
  <Characters>5392</Characters>
  <Application>Microsoft Office Word</Application>
  <DocSecurity>0</DocSecurity>
  <Lines>44</Lines>
  <Paragraphs>12</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6309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Mairi Lilleleht</dc:creator>
  <cp:keywords/>
  <cp:lastModifiedBy>Pille Sikk</cp:lastModifiedBy>
  <cp:revision>2</cp:revision>
  <dcterms:created xsi:type="dcterms:W3CDTF">2022-03-03T08:59:00Z</dcterms:created>
  <dcterms:modified xsi:type="dcterms:W3CDTF">2022-03-03T08:59:00Z</dcterms:modified>
</cp:coreProperties>
</file>